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4"/>
        <w:gridCol w:w="569"/>
        <w:gridCol w:w="170"/>
        <w:gridCol w:w="626"/>
        <w:gridCol w:w="114"/>
        <w:gridCol w:w="398"/>
        <w:gridCol w:w="114"/>
        <w:gridCol w:w="170"/>
        <w:gridCol w:w="171"/>
        <w:gridCol w:w="57"/>
        <w:gridCol w:w="739"/>
        <w:gridCol w:w="57"/>
        <w:gridCol w:w="228"/>
        <w:gridCol w:w="682"/>
        <w:gridCol w:w="57"/>
        <w:gridCol w:w="398"/>
        <w:gridCol w:w="342"/>
        <w:gridCol w:w="170"/>
        <w:gridCol w:w="57"/>
        <w:gridCol w:w="683"/>
        <w:gridCol w:w="113"/>
        <w:gridCol w:w="57"/>
        <w:gridCol w:w="171"/>
        <w:gridCol w:w="57"/>
        <w:gridCol w:w="255"/>
        <w:gridCol w:w="171"/>
        <w:gridCol w:w="143"/>
        <w:gridCol w:w="284"/>
        <w:gridCol w:w="398"/>
        <w:gridCol w:w="285"/>
        <w:gridCol w:w="57"/>
        <w:gridCol w:w="591"/>
        <w:gridCol w:w="78"/>
        <w:gridCol w:w="241"/>
        <w:gridCol w:w="398"/>
      </w:tblGrid>
      <w:tr w:rsidR="00D80B73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44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Адрес жилого помещения: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664074, Россия, Иркутская обл., г. Иркутск, ул.   , д.  , кв.  </w:t>
            </w:r>
          </w:p>
        </w:tc>
        <w:tc>
          <w:tcPr>
            <w:tcW w:w="429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B73" w:rsidRDefault="00241A2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02235" cy="126936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B73" w:rsidRDefault="00241A2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139825" cy="1139825"/>
                  <wp:effectExtent l="0" t="0" r="3175" b="317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B73" w:rsidRDefault="00241A2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45745" cy="126936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44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Платежный документ на дату 00.00.20__ для внес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ния платы за содержание и ремонт жилого помещ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ния и предоставление коммунальных услуг</w:t>
            </w:r>
          </w:p>
        </w:tc>
        <w:tc>
          <w:tcPr>
            <w:tcW w:w="429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43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Получатель: ФИО</w:t>
            </w:r>
          </w:p>
        </w:tc>
        <w:tc>
          <w:tcPr>
            <w:tcW w:w="429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3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204"/>
        </w:trPr>
        <w:tc>
          <w:tcPr>
            <w:tcW w:w="44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29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8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44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29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41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3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Раздел 1. Сведения о плательщике и исполнителе услуг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3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1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3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Раздел 2. Информация для внесения платы получателю платежа (получателям платежей)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415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58" w:after="0" w:line="156" w:lineRule="exact"/>
              <w:ind w:left="3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1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Наименование получателя пл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тежа</w:t>
            </w:r>
          </w:p>
        </w:tc>
        <w:tc>
          <w:tcPr>
            <w:tcW w:w="17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Номер банковского счета и банковские реквизиты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3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№ л/счета (иной идентификатор плательщика)</w:t>
            </w:r>
          </w:p>
        </w:tc>
        <w:tc>
          <w:tcPr>
            <w:tcW w:w="182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Виды услуг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Сумма к оплате за расчетный период, руб.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41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за  месяц 20   г. (расчетный период)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70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0B73" w:rsidTr="00D80B73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415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Площадь  общая/жилая: 0,0 / 0,00 кв.м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Кол-во прожив./зарег.: 0/0 чел.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Количество комнат:  0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Наименование исполнителя услуг: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ООО УК "Макском"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ИНН: 3812090927, КПП: 381201001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Адрес:  664074, г.Иркутск, ул. Лермонтова 81/8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 xml:space="preserve">Телефон, факс: (3952) 599-018, факс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Адрес электронной почты:  maxcom-uk@yandex.ru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Адрес сайта в сети Интернет: http://maxkom.ru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882"/>
        </w:trPr>
        <w:tc>
          <w:tcPr>
            <w:tcW w:w="41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58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ООО УК "Макском"</w:t>
            </w:r>
          </w:p>
        </w:tc>
        <w:tc>
          <w:tcPr>
            <w:tcW w:w="17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58" w:after="0" w:line="123" w:lineRule="exact"/>
              <w:ind w:left="2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Байкальский Банк ПАО «Сбе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р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банк» р/с 40702810618350002491, БИК 042520607, к/с 30101810900000000607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00000000</w:t>
            </w:r>
          </w:p>
        </w:tc>
        <w:tc>
          <w:tcPr>
            <w:tcW w:w="182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44" w:after="0" w:line="123" w:lineRule="exact"/>
              <w:ind w:left="15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Содержание общего имущества, Ремонт общего имущества, Холо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д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ное водоснабжение, Водоотведение, Домофон, Работы и услуги по управлению многоквартирным домом, Горячая вода потребленная при содержании общего имущества, Холодная вода потребленная при содержании общего имущества, Электроэнергия потребленная при содержании общего имущества, Отведение сточных вод, потребле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н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ных при содержании общего имущ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е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ства, 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58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41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1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0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41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58" w:after="0" w:line="142" w:lineRule="exact"/>
              <w:ind w:left="45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Справочно</w:t>
            </w:r>
          </w:p>
        </w:tc>
        <w:tc>
          <w:tcPr>
            <w:tcW w:w="41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58" w:after="0" w:line="142" w:lineRule="exact"/>
              <w:ind w:left="4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41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45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Задолженность за предыдущие периоды: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0,00 руб.</w:t>
            </w:r>
          </w:p>
        </w:tc>
        <w:tc>
          <w:tcPr>
            <w:tcW w:w="16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45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Дата последней оплаты: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00.00.20 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41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45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Аванс на начало расчетного периода: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 руб.</w:t>
            </w:r>
          </w:p>
        </w:tc>
        <w:tc>
          <w:tcPr>
            <w:tcW w:w="16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45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Внесено оплат: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0,00 руб.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41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45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Пени: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 руб.</w:t>
            </w:r>
          </w:p>
        </w:tc>
        <w:tc>
          <w:tcPr>
            <w:tcW w:w="16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4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Итого к оплате: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0,00 руб.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41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6712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45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Подключи Автоплатеж на Портале ЖКХ (portalgkh.ru) под 1%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41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58" w:after="0" w:line="156" w:lineRule="exact"/>
              <w:ind w:left="3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6712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1097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Раздел 3. Расчет размера платы за содержание и ремонт жилого помещения и коммунальные услуги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0B73" w:rsidTr="00D80B73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3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Виды услуг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3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Ед. изм.</w:t>
            </w:r>
          </w:p>
        </w:tc>
        <w:tc>
          <w:tcPr>
            <w:tcW w:w="2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Объем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Тариф, руб./ед. изм.</w:t>
            </w:r>
          </w:p>
        </w:tc>
        <w:tc>
          <w:tcPr>
            <w:tcW w:w="2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Размер платы, руб.</w:t>
            </w:r>
          </w:p>
        </w:tc>
        <w:tc>
          <w:tcPr>
            <w:tcW w:w="9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 начисл. за расч. п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риод, руб.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3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Перерас- четы вс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го. руб.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Итого к опл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те за расч. период, руб.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потребл.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повыш. коэфф.</w:t>
            </w: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потребл.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повыш. коэфф.</w:t>
            </w:r>
          </w:p>
        </w:tc>
        <w:tc>
          <w:tcPr>
            <w:tcW w:w="9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0B73" w:rsidTr="00D80B73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Содержание общего имущества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кв.м.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Ремонт общего имущества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кв.м.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Холодное водоснабжение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куб.м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Водоотведение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куб.м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Домофон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кв.м.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Работы и услуги по управлению многоквартирным домом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кв.м.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Горячая вода потребленная при содержании общего имущ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е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ства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куб.м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Холодная вода потребленная при содержании общего имущества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куб.м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Электроэнергия потребленная при содержании общего имущества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кВт*час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Отведение сточных вод, потребленных при содержании общего имущества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куб.м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2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63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Итого к оплате за расчетный период :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0B73" w:rsidTr="00241A2D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Виды услуг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Ед. изм.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Повыш. к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эффициент</w:t>
            </w:r>
          </w:p>
        </w:tc>
        <w:tc>
          <w:tcPr>
            <w:tcW w:w="1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Норматив потребления коммунальных услуг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Текущие показания приборов учета коммунальных ресурсов</w:t>
            </w:r>
          </w:p>
        </w:tc>
        <w:tc>
          <w:tcPr>
            <w:tcW w:w="17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Текущий расход приборов учета коммунальных услуг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Суммарный объем комм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нальных услуг в доме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индив. п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о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требл.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общедом. нужды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индивидуальных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  <w:t>(квартирных)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коллективных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  <w:t>(общедом-х)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индив.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  <w:t>(кварт.)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общедомовых</w:t>
            </w:r>
          </w:p>
        </w:tc>
        <w:tc>
          <w:tcPr>
            <w:tcW w:w="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в помещениях дома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на общедом. нужды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0B73" w:rsidTr="00241A2D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Холодное водоснабжение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куб.м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241A2D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241A2D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241A2D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Водоотведение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куб.м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241A2D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241A2D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241A2D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Электроснабжение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кВт*час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241A2D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1097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0977" w:type="dxa"/>
            <w:gridSpan w:val="34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80B73" w:rsidTr="00241A2D">
        <w:tblPrEx>
          <w:tblCellMar>
            <w:top w:w="0" w:type="dxa"/>
            <w:bottom w:w="0" w:type="dxa"/>
          </w:tblCellMar>
        </w:tblPrEx>
        <w:trPr>
          <w:trHeight w:hRule="exact" w:val="5042"/>
        </w:trPr>
        <w:tc>
          <w:tcPr>
            <w:tcW w:w="1097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0B73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847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73" w:rsidRDefault="00D80B73" w:rsidP="00D80B7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45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Дата и время создания: 00.00.20   00:00:00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B73" w:rsidRDefault="00D8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80B73" w:rsidRDefault="00D80B73" w:rsidP="00D80B73"/>
    <w:sectPr w:rsidR="00D80B73" w:rsidSect="00D80B73">
      <w:pgSz w:w="11926" w:h="16867"/>
      <w:pgMar w:top="282" w:right="444" w:bottom="282" w:left="28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3"/>
    <w:rsid w:val="00241A2D"/>
    <w:rsid w:val="00D8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User</cp:lastModifiedBy>
  <cp:revision>2</cp:revision>
  <dcterms:created xsi:type="dcterms:W3CDTF">2023-05-10T05:28:00Z</dcterms:created>
  <dcterms:modified xsi:type="dcterms:W3CDTF">2023-05-10T05:28:00Z</dcterms:modified>
</cp:coreProperties>
</file>